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23A" w:rsidRDefault="0002623A" w:rsidP="0002623A">
      <w:pPr>
        <w:widowControl/>
        <w:spacing w:line="400" w:lineRule="exact"/>
        <w:jc w:val="center"/>
        <w:outlineLvl w:val="0"/>
        <w:rPr>
          <w:rFonts w:asciiTheme="minorEastAsia" w:hAnsiTheme="minorEastAsia" w:cs="宋体"/>
          <w:b/>
          <w:bCs/>
          <w:color w:val="3A3A3A"/>
          <w:kern w:val="36"/>
          <w:sz w:val="36"/>
          <w:szCs w:val="36"/>
        </w:rPr>
      </w:pPr>
      <w:r w:rsidRPr="0002623A">
        <w:rPr>
          <w:rFonts w:asciiTheme="minorEastAsia" w:hAnsiTheme="minorEastAsia" w:cs="宋体" w:hint="eastAsia"/>
          <w:b/>
          <w:bCs/>
          <w:color w:val="3A3A3A"/>
          <w:kern w:val="36"/>
          <w:sz w:val="36"/>
          <w:szCs w:val="36"/>
        </w:rPr>
        <w:t>国家社会科学基金项目资金管理办法</w:t>
      </w:r>
    </w:p>
    <w:p w:rsidR="0002623A" w:rsidRPr="0002623A" w:rsidRDefault="0002623A" w:rsidP="0002623A">
      <w:pPr>
        <w:widowControl/>
        <w:spacing w:line="400" w:lineRule="exact"/>
        <w:jc w:val="center"/>
        <w:outlineLvl w:val="0"/>
        <w:rPr>
          <w:rFonts w:asciiTheme="minorEastAsia" w:hAnsiTheme="minorEastAsia" w:cs="宋体"/>
          <w:b/>
          <w:bCs/>
          <w:color w:val="3A3A3A"/>
          <w:kern w:val="36"/>
          <w:sz w:val="36"/>
          <w:szCs w:val="36"/>
        </w:rPr>
      </w:pP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第一章 总 则</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第一条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国家社科基金项目资金来源于中央财政拨款，是用于资助哲学社会科学研究，促进哲学社会科学学科发展、人才培养和队伍建设的专项资金。</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国家社科基金项目资金管理，应当以出成果、出人才为目标，坚持以人为本、遵循规律、依法规范、公正合理和安全高效的原则。</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第四条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项目责任单位是项目资金管理的责任主体，负责项目资金的日常管理和监督。</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第五条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项目负责人是项目资金使用的直接责任人，对资金使用的合规性、合理性、真实性和相关性承担法律责任。</w:t>
      </w: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第二章 项目资金开支范围</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第六条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项目资金支出是指在项目组织实施过程中与研究活动相关的、由项目资金支付的各项费用支出。项目资金分为直接费用和间接费用。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第七条</w:t>
      </w:r>
      <w:r w:rsidRPr="0002623A">
        <w:rPr>
          <w:rStyle w:val="apple-converted-space"/>
          <w:rFonts w:asciiTheme="minorEastAsia" w:eastAsiaTheme="minorEastAsia" w:hAnsiTheme="minorEastAsia" w:hint="eastAsia"/>
          <w:color w:val="000000"/>
          <w:sz w:val="21"/>
          <w:szCs w:val="21"/>
        </w:rPr>
        <w:t> </w:t>
      </w:r>
      <w:r w:rsidRPr="002525AF">
        <w:rPr>
          <w:rFonts w:asciiTheme="minorEastAsia" w:eastAsiaTheme="minorEastAsia" w:hAnsiTheme="minorEastAsia" w:hint="eastAsia"/>
          <w:b/>
          <w:color w:val="FF0000"/>
          <w:sz w:val="21"/>
          <w:szCs w:val="21"/>
        </w:rPr>
        <w:t>直接费用</w:t>
      </w:r>
      <w:r w:rsidR="002525AF">
        <w:rPr>
          <w:rFonts w:asciiTheme="minorEastAsia" w:eastAsiaTheme="minorEastAsia" w:hAnsiTheme="minorEastAsia" w:hint="eastAsia"/>
          <w:color w:val="000000"/>
          <w:sz w:val="21"/>
          <w:szCs w:val="21"/>
        </w:rPr>
        <w:t>（</w:t>
      </w:r>
      <w:r w:rsidR="002525AF" w:rsidRPr="000222AD">
        <w:rPr>
          <w:rFonts w:asciiTheme="minorEastAsia" w:eastAsiaTheme="minorEastAsia" w:hAnsiTheme="minorEastAsia" w:hint="eastAsia"/>
          <w:color w:val="FF0000"/>
          <w:sz w:val="21"/>
          <w:szCs w:val="21"/>
        </w:rPr>
        <w:t>所有科目不设比例限制</w:t>
      </w:r>
      <w:r w:rsidR="002525AF">
        <w:rPr>
          <w:rFonts w:asciiTheme="minorEastAsia" w:eastAsiaTheme="minorEastAsia" w:hAnsiTheme="minorEastAsia" w:hint="eastAsia"/>
          <w:color w:val="000000"/>
          <w:sz w:val="21"/>
          <w:szCs w:val="21"/>
        </w:rPr>
        <w:t>）</w:t>
      </w:r>
      <w:r w:rsidRPr="0002623A">
        <w:rPr>
          <w:rFonts w:asciiTheme="minorEastAsia" w:eastAsiaTheme="minorEastAsia" w:hAnsiTheme="minorEastAsia" w:hint="eastAsia"/>
          <w:color w:val="000000"/>
          <w:sz w:val="21"/>
          <w:szCs w:val="21"/>
        </w:rPr>
        <w:t>是指在项目研究过程中发生的与之直接相关的费用，具体包括：</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（一）资料费：指在项目研究过程中需要支付的图书（包括外文图书）购置费，资料收集、整理、复印、翻拍、翻译费，专用软件购买费，文献检索费等。</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（二）数据采集费：指在项目研究过程中发生的调查、访谈、数据购买、数据分析及相应技术服务购买等支出的费用。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w:t>
      </w:r>
      <w:r w:rsidRPr="000222AD">
        <w:rPr>
          <w:rFonts w:asciiTheme="minorEastAsia" w:eastAsiaTheme="minorEastAsia" w:hAnsiTheme="minorEastAsia" w:hint="eastAsia"/>
          <w:color w:val="000000"/>
          <w:sz w:val="21"/>
          <w:szCs w:val="21"/>
          <w:u w:val="single"/>
        </w:rPr>
        <w:t>不超过直接费用20%的，不需要提供预算测算依据</w:t>
      </w:r>
      <w:r w:rsidR="000222AD">
        <w:rPr>
          <w:rFonts w:asciiTheme="minorEastAsia" w:eastAsiaTheme="minorEastAsia" w:hAnsiTheme="minorEastAsia" w:hint="eastAsia"/>
          <w:color w:val="000000"/>
          <w:sz w:val="21"/>
          <w:szCs w:val="21"/>
          <w:u w:val="single"/>
        </w:rPr>
        <w:t>(超过20%需要说明，详见预算)</w:t>
      </w:r>
      <w:r w:rsidRPr="0002623A">
        <w:rPr>
          <w:rFonts w:asciiTheme="minorEastAsia" w:eastAsiaTheme="minorEastAsia" w:hAnsiTheme="minorEastAsia" w:hint="eastAsia"/>
          <w:color w:val="000000"/>
          <w:sz w:val="21"/>
          <w:szCs w:val="21"/>
        </w:rPr>
        <w:t>。</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（四）设备费：指在项目研究过程中购置设备和设备耗材、升级维护现有设备以及租用外单位设备而发生的费用。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应当严格控制设备购置，鼓励共享、租赁以及对现有设备进行升级。</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（五）专家咨询费：指在项目研究过程中支付给临时聘请的咨询专家的费用。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专家咨询费预算由项目负责人按照项目研究实际需要编制，支出标准按照国家有关规定执行。</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（六）劳务费：指在项目研究过程中支付给参与项目研究的研究生、博士后、访问学者以及项目聘用的研究人员、科研辅助人员等的劳务费用。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项目聘用人员的劳务费开支标准，参照当地科学研究和技术服务业人员平均工资水平以及在项目研究中承担的工作任务确定，其社会保险补助费用纳入劳务费列支。劳务费预算应根据项目研究实际需要编制。</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（七）印刷出版费：指在项目研究过程中支付的打印费、印刷费及阶段性成果出版费等。</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（八）其他支出：项目研究过程中发生的除上述费用之外的其他支出，应当在编制预算时单独列示，单独核定。</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直接费用应当纳入责任单位财务统一管理，单独核算，专款专用。</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lastRenderedPageBreak/>
        <w:t>第八条</w:t>
      </w:r>
      <w:r w:rsidRPr="0002623A">
        <w:rPr>
          <w:rStyle w:val="apple-converted-space"/>
          <w:rFonts w:asciiTheme="minorEastAsia" w:eastAsiaTheme="minorEastAsia" w:hAnsiTheme="minorEastAsia" w:hint="eastAsia"/>
          <w:color w:val="000000"/>
          <w:sz w:val="21"/>
          <w:szCs w:val="21"/>
        </w:rPr>
        <w:t> </w:t>
      </w:r>
      <w:r w:rsidRPr="002525AF">
        <w:rPr>
          <w:rFonts w:asciiTheme="minorEastAsia" w:eastAsiaTheme="minorEastAsia" w:hAnsiTheme="minorEastAsia" w:hint="eastAsia"/>
          <w:b/>
          <w:color w:val="FF0000"/>
          <w:sz w:val="21"/>
          <w:szCs w:val="21"/>
        </w:rPr>
        <w:t>间接费用</w:t>
      </w:r>
      <w:r w:rsidRPr="0002623A">
        <w:rPr>
          <w:rFonts w:asciiTheme="minorEastAsia" w:eastAsiaTheme="minorEastAsia" w:hAnsiTheme="minorEastAsia" w:hint="eastAsia"/>
          <w:color w:val="000000"/>
          <w:sz w:val="21"/>
          <w:szCs w:val="21"/>
        </w:rPr>
        <w:t>是指责任单位在组织实施项目过程中发生的无法在直接费用中列支的相关费用，主要用于补偿责任单位为项目研究提供的现有仪器设备及房屋、水、电、气、暖消耗等间接成本，有关管理费用，以及激励科研人员的绩效支出等。</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2525AF">
        <w:rPr>
          <w:rFonts w:asciiTheme="minorEastAsia" w:eastAsiaTheme="minorEastAsia" w:hAnsiTheme="minorEastAsia" w:hint="eastAsia"/>
          <w:color w:val="000000"/>
          <w:sz w:val="21"/>
          <w:szCs w:val="21"/>
          <w:u w:val="single"/>
        </w:rPr>
        <w:t>间接费用一般按照不超过项目</w:t>
      </w:r>
      <w:r w:rsidRPr="002525AF">
        <w:rPr>
          <w:rFonts w:asciiTheme="minorEastAsia" w:eastAsiaTheme="minorEastAsia" w:hAnsiTheme="minorEastAsia" w:hint="eastAsia"/>
          <w:sz w:val="21"/>
          <w:szCs w:val="21"/>
          <w:u w:val="single"/>
        </w:rPr>
        <w:t>资助总额的一定比例核定。</w:t>
      </w:r>
      <w:r w:rsidRPr="002525AF">
        <w:rPr>
          <w:rFonts w:asciiTheme="minorEastAsia" w:eastAsiaTheme="minorEastAsia" w:hAnsiTheme="minorEastAsia" w:hint="eastAsia"/>
          <w:color w:val="000000"/>
          <w:sz w:val="21"/>
          <w:szCs w:val="21"/>
          <w:u w:val="single"/>
        </w:rPr>
        <w:t>具体比例如下：50万元及以下部分为30%；</w:t>
      </w:r>
      <w:r w:rsidRPr="0002623A">
        <w:rPr>
          <w:rFonts w:asciiTheme="minorEastAsia" w:eastAsiaTheme="minorEastAsia" w:hAnsiTheme="minorEastAsia" w:hint="eastAsia"/>
          <w:color w:val="000000"/>
          <w:sz w:val="21"/>
          <w:szCs w:val="21"/>
        </w:rPr>
        <w:t>超过50万元至500万元的部分为20%；超过500万元的部分为13%。</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间接费用核定应当与责任单位信用等级挂钩，具体管理规定另行制定。</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第九条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w:t>
      </w:r>
    </w:p>
    <w:p w:rsidR="0002623A" w:rsidRPr="002525AF"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2525AF">
        <w:rPr>
          <w:rFonts w:asciiTheme="minorEastAsia" w:eastAsiaTheme="minorEastAsia" w:hAnsiTheme="minorEastAsia" w:hint="eastAsia"/>
          <w:color w:val="000000"/>
          <w:sz w:val="21"/>
          <w:szCs w:val="21"/>
          <w:u w:val="single"/>
        </w:rPr>
        <w:t>责任单位不得在核定的间接费用以外再以任何名义在项目资金中重复提取、列支相关费用。</w:t>
      </w: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第三章 预算的编制与审核</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项目负责人应当按照目标相关性、政策相符性和经济合理性原则，根据项目研究需要和资金开支范围，科学合理、实事求是地编制项目预算，并对直接费用支出的主要用途和测算理由等作出说明。</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项目负责人应当在收到立项通知之日起30日内完成预算编制。无特殊情况，逾期不提交的，视为自动放弃资助。</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第十一条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项目预算经责任单位、所在省区市社科规划办或在京委托管理机构审核并签署意见后，提交全国哲学社会科学规划办公室（以下简称全国社科规划办）审核。未通过审核的，应当按要求调整后重新上报。</w:t>
      </w:r>
    </w:p>
    <w:p w:rsidR="0002623A" w:rsidRPr="002525AF"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02623A">
        <w:rPr>
          <w:rStyle w:val="a4"/>
          <w:rFonts w:asciiTheme="minorEastAsia" w:eastAsiaTheme="minorEastAsia" w:hAnsiTheme="minorEastAsia" w:hint="eastAsia"/>
          <w:color w:val="000000"/>
          <w:sz w:val="21"/>
          <w:szCs w:val="21"/>
        </w:rPr>
        <w:t>第十二条</w:t>
      </w:r>
      <w:r w:rsidRPr="0002623A">
        <w:rPr>
          <w:rStyle w:val="apple-converted-space"/>
          <w:rFonts w:asciiTheme="minorEastAsia" w:eastAsiaTheme="minorEastAsia" w:hAnsiTheme="minorEastAsia" w:hint="eastAsia"/>
          <w:color w:val="000000"/>
          <w:sz w:val="21"/>
          <w:szCs w:val="21"/>
        </w:rPr>
        <w:t> </w:t>
      </w:r>
      <w:r w:rsidRPr="002525AF">
        <w:rPr>
          <w:rFonts w:asciiTheme="minorEastAsia" w:eastAsiaTheme="minorEastAsia" w:hAnsiTheme="minorEastAsia" w:hint="eastAsia"/>
          <w:color w:val="000000"/>
          <w:sz w:val="21"/>
          <w:szCs w:val="21"/>
          <w:u w:val="single"/>
        </w:rPr>
        <w:t>跨单位合作的项目，确需外拨资金的，应当在项目预算中单独列示，并附外拨资金直接费用支出预算</w:t>
      </w:r>
      <w:r w:rsidR="002525AF">
        <w:rPr>
          <w:rFonts w:asciiTheme="minorEastAsia" w:eastAsiaTheme="minorEastAsia" w:hAnsiTheme="minorEastAsia" w:hint="eastAsia"/>
          <w:color w:val="000000"/>
          <w:sz w:val="21"/>
          <w:szCs w:val="21"/>
          <w:u w:val="single"/>
        </w:rPr>
        <w:t>（参照回执样式另外列出）</w:t>
      </w:r>
      <w:r w:rsidRPr="002525AF">
        <w:rPr>
          <w:rFonts w:asciiTheme="minorEastAsia" w:eastAsiaTheme="minorEastAsia" w:hAnsiTheme="minorEastAsia" w:hint="eastAsia"/>
          <w:color w:val="000000"/>
          <w:sz w:val="21"/>
          <w:szCs w:val="21"/>
          <w:u w:val="single"/>
        </w:rPr>
        <w:t>。间接费用外拨金额，由责任单位和合作研究单位协商确定。</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责任单位应当及时按照合作研究协议和审核通过的项目预算转拨合作研究单位资金。</w:t>
      </w: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第四章 预算执行与决算</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第十三条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项目负责人应当严格执行批准后的项目预算。确需调剂的，应当按规定报批。</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第十四条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项目预算有以下情况需要调剂的，由项目负责人提出申请，经责任单位、所在省区市社科规划办或在京委托管理机构审核同意后，报全国社科规划办审批。</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（一）由于研究内容或者研究计划作出重大调整等原因，需要增加或减少项目预算总额。</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（二）原项目预算未列示外拨资金，需要增列。</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第十五条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项目直接费用预算确需调剂的，按以下规定予以调整：</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（一）资料费、数据采集费、设备费、印刷出版费和其他支出预算需要调剂，由项目负责人提出申请，报责任单位审批。</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二）会议费/差旅费/国际合作与交流费、专家咨询费、劳务费预算一般不予调增，需要调减用于项目其他方面支出，由项目负责人提出申请，报责任单位审批；如有特殊情况确需调增的，由项目负责人提出申请，经责任单位、所在省区市社科规划办或在京委托管理机构审核同意后，报全国社科规划办审批。</w:t>
      </w:r>
    </w:p>
    <w:p w:rsidR="0002623A" w:rsidRPr="003E5787" w:rsidRDefault="0002623A" w:rsidP="0002623A">
      <w:pPr>
        <w:pStyle w:val="a3"/>
        <w:spacing w:before="0" w:beforeAutospacing="0" w:after="0" w:afterAutospacing="0" w:line="400" w:lineRule="exact"/>
        <w:ind w:firstLine="480"/>
        <w:rPr>
          <w:rFonts w:asciiTheme="minorEastAsia" w:eastAsiaTheme="minorEastAsia" w:hAnsiTheme="minorEastAsia"/>
          <w:b/>
          <w:color w:val="FF0000"/>
          <w:sz w:val="21"/>
          <w:szCs w:val="21"/>
        </w:rPr>
      </w:pPr>
      <w:r w:rsidRPr="003E5787">
        <w:rPr>
          <w:rFonts w:asciiTheme="minorEastAsia" w:eastAsiaTheme="minorEastAsia" w:hAnsiTheme="minorEastAsia" w:hint="eastAsia"/>
          <w:b/>
          <w:color w:val="FF0000"/>
          <w:sz w:val="21"/>
          <w:szCs w:val="21"/>
        </w:rPr>
        <w:t>项目间接费用预算不得调剂。</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责任单位应当按规定及时审批项目预算调剂事项申请。</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第十六条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国家社科基金项目资金的支付执行国库集中支付制度。项目资金实行预留资金制度，预留部分资金在项目成果通过审核验收后支付。未通过审核验收的项目，预留资金不予支付。</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项目资金属于政府采购范围的，应当按照政府采购有关规定执行。</w:t>
      </w:r>
    </w:p>
    <w:p w:rsidR="0002623A" w:rsidRPr="00177D02"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02623A">
        <w:rPr>
          <w:rStyle w:val="a4"/>
          <w:rFonts w:asciiTheme="minorEastAsia" w:eastAsiaTheme="minorEastAsia" w:hAnsiTheme="minorEastAsia" w:hint="eastAsia"/>
          <w:color w:val="000000"/>
          <w:sz w:val="21"/>
          <w:szCs w:val="21"/>
        </w:rPr>
        <w:lastRenderedPageBreak/>
        <w:t>第十七条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责任单位应当严格执行国家有关科研资金支出管理制度。对应当实行“公务卡”结算的支出，按照中央财政科研项目使用公务卡结算的有关规定执行。</w:t>
      </w:r>
      <w:r w:rsidRPr="00177D02">
        <w:rPr>
          <w:rFonts w:asciiTheme="minorEastAsia" w:eastAsiaTheme="minorEastAsia" w:hAnsiTheme="minorEastAsia" w:hint="eastAsia"/>
          <w:color w:val="000000"/>
          <w:sz w:val="21"/>
          <w:szCs w:val="21"/>
          <w:u w:val="single"/>
        </w:rPr>
        <w:t>专家咨询费、劳务费等支出，原则上应当通过银行转账方式结算，从严控制现金支出事项。</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对于野外考察、数据采集等科研活动中无法取得发票或财政性票据的支出，在确保真实性的前提下，责任单位可按实际发生额予以报销。</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第十八条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项目研究完成后，项目负责人应当会同科研、财务、审计、资产等管理部门及时清理账目与资产，如实编制《国家社会科学基金项目结项审批书》中的项目决算表，不得随意调账变动支出、随意修改记账凭证。</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有外拨资金的项目，外拨资金决算经合作研究单位财务、审计部门审核并签署意见后，由项目负责人汇总编制项目资金决算。</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第十九条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项目研究成果首次鉴定的费用由全国社科规划办另行支付。首次鉴定未通过并组织第二次鉴定的，鉴定费从项目预留资金中扣除。</w:t>
      </w:r>
    </w:p>
    <w:p w:rsidR="0002623A" w:rsidRPr="00177D02"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u w:val="single"/>
        </w:rPr>
      </w:pPr>
      <w:r w:rsidRPr="0002623A">
        <w:rPr>
          <w:rStyle w:val="a4"/>
          <w:rFonts w:asciiTheme="minorEastAsia" w:eastAsiaTheme="minorEastAsia" w:hAnsiTheme="minorEastAsia" w:hint="eastAsia"/>
          <w:color w:val="000000"/>
          <w:sz w:val="21"/>
          <w:szCs w:val="21"/>
        </w:rPr>
        <w:t>第二十条</w:t>
      </w:r>
      <w:r w:rsidRPr="0002623A">
        <w:rPr>
          <w:rStyle w:val="apple-converted-space"/>
          <w:rFonts w:asciiTheme="minorEastAsia" w:eastAsiaTheme="minorEastAsia" w:hAnsiTheme="minorEastAsia" w:hint="eastAsia"/>
          <w:color w:val="000000"/>
          <w:sz w:val="21"/>
          <w:szCs w:val="21"/>
        </w:rPr>
        <w:t> </w:t>
      </w:r>
      <w:r w:rsidRPr="00177D02">
        <w:rPr>
          <w:rFonts w:asciiTheme="minorEastAsia" w:eastAsiaTheme="minorEastAsia" w:hAnsiTheme="minorEastAsia" w:hint="eastAsia"/>
          <w:color w:val="000000"/>
          <w:sz w:val="21"/>
          <w:szCs w:val="21"/>
          <w:u w:val="single"/>
        </w:rPr>
        <w:t>项目在研期间，年度剩余资金可以结转下一年度继续使用。项目研究成果完成并通过审核验收后，结余资金可用于项目最终成果出版及后续研究的直接支出。若项目研究成果通过审核验收2年后结余资金仍有剩余的，应当按原渠道退回国家社科基金,结转下年统筹用于资助项目研究。</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项目成果未通过审核验收的项目，或责任单位信用评价差的，结余资金应当在接到有关通知后30日内按原渠道退回国家社科基金。</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第二十一条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对于因故被终止执行的项目的结余资金，以及因故被撤销的项目的已拨资金，责任单位应当在接到有关通知后30日内按原渠道退回国家社科基金。</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第二十二条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项目实施过程中，使用项目资金形成的固定资产、无形资产等属于国有资产，应当按照国有资产管理的有关规定执行。</w:t>
      </w: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第五章 管理与监督</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第二十三条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项目负责人使用项目资金情况应当自觉接受有关部门的监督检查。</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第二十四条</w:t>
      </w:r>
      <w:r w:rsidRPr="0002623A">
        <w:rPr>
          <w:rStyle w:val="apple-converted-space"/>
          <w:rFonts w:asciiTheme="minorEastAsia" w:eastAsiaTheme="minorEastAsia" w:hAnsiTheme="minorEastAsia" w:hint="eastAsia"/>
          <w:b/>
          <w:bCs/>
          <w:color w:val="000000"/>
          <w:sz w:val="21"/>
          <w:szCs w:val="21"/>
        </w:rPr>
        <w:t> </w:t>
      </w:r>
      <w:r w:rsidRPr="0002623A">
        <w:rPr>
          <w:rFonts w:asciiTheme="minorEastAsia" w:eastAsiaTheme="minorEastAsia" w:hAnsiTheme="minorEastAsia" w:hint="eastAsia"/>
          <w:color w:val="000000"/>
          <w:sz w:val="21"/>
          <w:szCs w:val="21"/>
        </w:rPr>
        <w:t>责任单位应当制定项目资金内部管理办法，明确审批程序、管理要求和报销规定，落实项目预算调剂、间接费用统筹使用、劳务费分配管理、结余资金使用等管理权限。</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责任单位应当建立健全科研财务助理制度，为科研人员在项目预算编制和调剂、经费支出、项目资金决算和验收等方面提供专业化服务。</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Fonts w:asciiTheme="minorEastAsia" w:eastAsiaTheme="minorEastAsia" w:hAnsiTheme="minorEastAsia" w:hint="eastAsia"/>
          <w:color w:val="000000"/>
          <w:sz w:val="21"/>
          <w:szCs w:val="21"/>
        </w:rPr>
        <w:t>责任单位应当充分利用信息化手段，建立健全单位内部科研、财务、项目负责人共享的信息平台，提高科研管理效率和便利化程度。</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第二十五条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各省区市社科规划办和在京委托管理机构应当根据各自实际，对本地区本系统责任单位和项目负责人的资金使用和管理情况进行不定期检查或专项审计。发现问题的，应当及时督促整改，并向全国社科规划办报告。</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lastRenderedPageBreak/>
        <w:t>第二十六条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全国社科规划办应当建立项目资金使用和管理情况的检查、审计、监督长效机制，建立项目资金绩效评价和结果应用制度，加强项目资金使用效益评估。</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第二十七条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建立项目资金使用和管理的承诺机制，责任单位应当承诺依法依规履行项目资金管理的职责，项目负责人应当承诺提供真实的项目信息并认真遵守项目资金管理的有关规定。</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第二十八条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第二十九条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建立项目资金使用和管理的信息公开机制，责任单位和项目负责人应当在单位内部公开项目预算、预算调剂、决算、项目组人员构成、设备购置、外拨资金、劳务费发放以及间接费用和结余资金使用等情况，自觉接受监督。</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第三十条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违反本办法规定的，依照《预算法》、《财政违法行为处罚处分条例》等国家有关规定追究法律责任。涉嫌犯罪的，依法移送司法机关处理。</w:t>
      </w:r>
    </w:p>
    <w:p w:rsidR="0002623A" w:rsidRPr="0002623A" w:rsidRDefault="0002623A" w:rsidP="0002623A">
      <w:pPr>
        <w:pStyle w:val="a3"/>
        <w:spacing w:before="0" w:beforeAutospacing="0" w:after="0" w:afterAutospacing="0" w:line="400" w:lineRule="exact"/>
        <w:ind w:firstLine="480"/>
        <w:jc w:val="center"/>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第六章 附 则</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第三十一条</w:t>
      </w:r>
      <w:r w:rsidRPr="0002623A">
        <w:rPr>
          <w:rStyle w:val="apple-converted-space"/>
          <w:rFonts w:asciiTheme="minorEastAsia" w:eastAsiaTheme="minorEastAsia" w:hAnsiTheme="minorEastAsia" w:hint="eastAsia"/>
          <w:b/>
          <w:bCs/>
          <w:color w:val="000000"/>
          <w:sz w:val="21"/>
          <w:szCs w:val="21"/>
        </w:rPr>
        <w:t> </w:t>
      </w:r>
      <w:r w:rsidRPr="0002623A">
        <w:rPr>
          <w:rFonts w:asciiTheme="minorEastAsia" w:eastAsiaTheme="minorEastAsia" w:hAnsiTheme="minorEastAsia" w:hint="eastAsia"/>
          <w:color w:val="000000"/>
          <w:sz w:val="21"/>
          <w:szCs w:val="21"/>
        </w:rPr>
        <w:t>本办法适用于国家社科基金各项目类型，以及教育学、艺术学、军事学三个单列学科。国家社科基金其他资助，未制定有关办法的，适用本办法。</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第三十二条</w:t>
      </w:r>
      <w:r w:rsidRPr="0002623A">
        <w:rPr>
          <w:rStyle w:val="apple-converted-space"/>
          <w:rFonts w:asciiTheme="minorEastAsia" w:eastAsiaTheme="minorEastAsia" w:hAnsiTheme="minorEastAsia" w:hint="eastAsia"/>
          <w:color w:val="000000"/>
          <w:sz w:val="21"/>
          <w:szCs w:val="21"/>
        </w:rPr>
        <w:t> </w:t>
      </w:r>
      <w:r w:rsidRPr="0002623A">
        <w:rPr>
          <w:rFonts w:asciiTheme="minorEastAsia" w:eastAsiaTheme="minorEastAsia" w:hAnsiTheme="minorEastAsia" w:hint="eastAsia"/>
          <w:color w:val="000000"/>
          <w:sz w:val="21"/>
          <w:szCs w:val="21"/>
        </w:rPr>
        <w:t>本办法由财政部、全国哲学社会科学规划领导小组负责解释。</w:t>
      </w:r>
    </w:p>
    <w:p w:rsidR="0002623A" w:rsidRPr="0002623A" w:rsidRDefault="0002623A" w:rsidP="0002623A">
      <w:pPr>
        <w:pStyle w:val="a3"/>
        <w:spacing w:before="0" w:beforeAutospacing="0" w:after="0" w:afterAutospacing="0" w:line="400" w:lineRule="exact"/>
        <w:ind w:firstLine="480"/>
        <w:rPr>
          <w:rFonts w:asciiTheme="minorEastAsia" w:eastAsiaTheme="minorEastAsia" w:hAnsiTheme="minorEastAsia"/>
          <w:color w:val="000000"/>
          <w:sz w:val="21"/>
          <w:szCs w:val="21"/>
        </w:rPr>
      </w:pPr>
      <w:r w:rsidRPr="0002623A">
        <w:rPr>
          <w:rStyle w:val="a4"/>
          <w:rFonts w:asciiTheme="minorEastAsia" w:eastAsiaTheme="minorEastAsia" w:hAnsiTheme="minorEastAsia" w:hint="eastAsia"/>
          <w:color w:val="000000"/>
          <w:sz w:val="21"/>
          <w:szCs w:val="21"/>
        </w:rPr>
        <w:t>第三十三条</w:t>
      </w:r>
      <w:r w:rsidRPr="0002623A">
        <w:rPr>
          <w:rStyle w:val="apple-converted-space"/>
          <w:rFonts w:asciiTheme="minorEastAsia" w:eastAsiaTheme="minorEastAsia" w:hAnsiTheme="minorEastAsia" w:hint="eastAsia"/>
          <w:b/>
          <w:bCs/>
          <w:color w:val="000000"/>
          <w:sz w:val="21"/>
          <w:szCs w:val="21"/>
        </w:rPr>
        <w:t> </w:t>
      </w:r>
      <w:r w:rsidRPr="0002623A">
        <w:rPr>
          <w:rFonts w:asciiTheme="minorEastAsia" w:eastAsiaTheme="minorEastAsia" w:hAnsiTheme="minorEastAsia" w:hint="eastAsia"/>
          <w:color w:val="000000"/>
          <w:sz w:val="21"/>
          <w:szCs w:val="21"/>
        </w:rPr>
        <w:t>本办法自发布之日起施行。2007年4月10日财政部、全国哲学社会科学规划领导小组印发的《国家社会科学基金项目经费管理办法》（财教〔2007〕30号）同时废止。 </w:t>
      </w:r>
    </w:p>
    <w:p w:rsidR="00EE7C44" w:rsidRPr="0002623A" w:rsidRDefault="0002623A" w:rsidP="0002623A">
      <w:pPr>
        <w:spacing w:line="400" w:lineRule="exact"/>
        <w:rPr>
          <w:rFonts w:asciiTheme="minorEastAsia" w:hAnsiTheme="minorEastAsia"/>
        </w:rPr>
      </w:pPr>
      <w:r w:rsidRPr="0002623A">
        <w:rPr>
          <w:rFonts w:asciiTheme="minorEastAsia" w:hAnsiTheme="minorEastAsia" w:hint="eastAsia"/>
        </w:rPr>
        <w:t xml:space="preserve">   </w:t>
      </w:r>
    </w:p>
    <w:p w:rsidR="0002623A" w:rsidRPr="0002623A" w:rsidRDefault="0002623A" w:rsidP="0002623A">
      <w:pPr>
        <w:spacing w:line="400" w:lineRule="exact"/>
        <w:rPr>
          <w:rFonts w:asciiTheme="minorEastAsia" w:hAnsiTheme="minorEastAsia"/>
        </w:rPr>
      </w:pPr>
    </w:p>
    <w:p w:rsidR="0002623A" w:rsidRPr="0002623A" w:rsidRDefault="0002623A" w:rsidP="0002623A">
      <w:pPr>
        <w:spacing w:line="400" w:lineRule="exact"/>
        <w:rPr>
          <w:rFonts w:asciiTheme="minorEastAsia" w:hAnsiTheme="minorEastAsia"/>
        </w:rPr>
      </w:pPr>
    </w:p>
    <w:p w:rsidR="0002623A" w:rsidRPr="0002623A" w:rsidRDefault="0002623A" w:rsidP="0002623A">
      <w:pPr>
        <w:spacing w:line="400" w:lineRule="exact"/>
        <w:rPr>
          <w:rFonts w:asciiTheme="minorEastAsia" w:hAnsiTheme="minorEastAsia"/>
        </w:rPr>
      </w:pPr>
    </w:p>
    <w:p w:rsidR="0002623A" w:rsidRPr="0002623A" w:rsidRDefault="0002623A" w:rsidP="0002623A">
      <w:pPr>
        <w:spacing w:line="400" w:lineRule="exact"/>
        <w:rPr>
          <w:rFonts w:asciiTheme="minorEastAsia" w:hAnsiTheme="minorEastAsia"/>
        </w:rPr>
      </w:pPr>
      <w:r w:rsidRPr="0002623A">
        <w:rPr>
          <w:rFonts w:asciiTheme="minorEastAsia" w:hAnsiTheme="minorEastAsia" w:hint="eastAsia"/>
        </w:rPr>
        <w:t xml:space="preserve">                                                </w:t>
      </w:r>
      <w:r>
        <w:rPr>
          <w:rFonts w:asciiTheme="minorEastAsia" w:hAnsiTheme="minorEastAsia" w:hint="eastAsia"/>
        </w:rPr>
        <w:t xml:space="preserve">                     </w:t>
      </w:r>
      <w:r w:rsidRPr="0002623A">
        <w:rPr>
          <w:rFonts w:asciiTheme="minorEastAsia" w:hAnsiTheme="minorEastAsia" w:hint="eastAsia"/>
        </w:rPr>
        <w:t>2016年9月27日</w:t>
      </w:r>
    </w:p>
    <w:sectPr w:rsidR="0002623A" w:rsidRPr="0002623A" w:rsidSect="0002623A">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07F" w:rsidRDefault="0014707F" w:rsidP="000222AD">
      <w:r>
        <w:separator/>
      </w:r>
    </w:p>
  </w:endnote>
  <w:endnote w:type="continuationSeparator" w:id="1">
    <w:p w:rsidR="0014707F" w:rsidRDefault="0014707F" w:rsidP="000222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07F" w:rsidRDefault="0014707F" w:rsidP="000222AD">
      <w:r>
        <w:separator/>
      </w:r>
    </w:p>
  </w:footnote>
  <w:footnote w:type="continuationSeparator" w:id="1">
    <w:p w:rsidR="0014707F" w:rsidRDefault="0014707F" w:rsidP="000222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623A"/>
    <w:rsid w:val="000222AD"/>
    <w:rsid w:val="0002623A"/>
    <w:rsid w:val="0014707F"/>
    <w:rsid w:val="00177D02"/>
    <w:rsid w:val="002525AF"/>
    <w:rsid w:val="002E1541"/>
    <w:rsid w:val="003E5787"/>
    <w:rsid w:val="005260BF"/>
    <w:rsid w:val="008C15DB"/>
    <w:rsid w:val="00A25319"/>
    <w:rsid w:val="00EE7C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C44"/>
    <w:pPr>
      <w:widowControl w:val="0"/>
      <w:jc w:val="both"/>
    </w:pPr>
  </w:style>
  <w:style w:type="paragraph" w:styleId="1">
    <w:name w:val="heading 1"/>
    <w:basedOn w:val="a"/>
    <w:link w:val="1Char"/>
    <w:uiPriority w:val="9"/>
    <w:qFormat/>
    <w:rsid w:val="000262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623A"/>
    <w:rPr>
      <w:rFonts w:ascii="宋体" w:eastAsia="宋体" w:hAnsi="宋体" w:cs="宋体"/>
      <w:b/>
      <w:bCs/>
      <w:kern w:val="36"/>
      <w:sz w:val="48"/>
      <w:szCs w:val="48"/>
    </w:rPr>
  </w:style>
  <w:style w:type="paragraph" w:styleId="a3">
    <w:name w:val="Normal (Web)"/>
    <w:basedOn w:val="a"/>
    <w:uiPriority w:val="99"/>
    <w:semiHidden/>
    <w:unhideWhenUsed/>
    <w:rsid w:val="0002623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2623A"/>
    <w:rPr>
      <w:b/>
      <w:bCs/>
    </w:rPr>
  </w:style>
  <w:style w:type="character" w:customStyle="1" w:styleId="apple-converted-space">
    <w:name w:val="apple-converted-space"/>
    <w:basedOn w:val="a0"/>
    <w:rsid w:val="0002623A"/>
  </w:style>
  <w:style w:type="paragraph" w:styleId="a5">
    <w:name w:val="header"/>
    <w:basedOn w:val="a"/>
    <w:link w:val="Char"/>
    <w:uiPriority w:val="99"/>
    <w:semiHidden/>
    <w:unhideWhenUsed/>
    <w:rsid w:val="000222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222AD"/>
    <w:rPr>
      <w:sz w:val="18"/>
      <w:szCs w:val="18"/>
    </w:rPr>
  </w:style>
  <w:style w:type="paragraph" w:styleId="a6">
    <w:name w:val="footer"/>
    <w:basedOn w:val="a"/>
    <w:link w:val="Char0"/>
    <w:uiPriority w:val="99"/>
    <w:semiHidden/>
    <w:unhideWhenUsed/>
    <w:rsid w:val="000222A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222AD"/>
    <w:rPr>
      <w:sz w:val="18"/>
      <w:szCs w:val="18"/>
    </w:rPr>
  </w:style>
</w:styles>
</file>

<file path=word/webSettings.xml><?xml version="1.0" encoding="utf-8"?>
<w:webSettings xmlns:r="http://schemas.openxmlformats.org/officeDocument/2006/relationships" xmlns:w="http://schemas.openxmlformats.org/wordprocessingml/2006/main">
  <w:divs>
    <w:div w:id="463277964">
      <w:bodyDiv w:val="1"/>
      <w:marLeft w:val="0"/>
      <w:marRight w:val="0"/>
      <w:marTop w:val="0"/>
      <w:marBottom w:val="0"/>
      <w:divBdr>
        <w:top w:val="none" w:sz="0" w:space="0" w:color="auto"/>
        <w:left w:val="none" w:sz="0" w:space="0" w:color="auto"/>
        <w:bottom w:val="none" w:sz="0" w:space="0" w:color="auto"/>
        <w:right w:val="none" w:sz="0" w:space="0" w:color="auto"/>
      </w:divBdr>
    </w:div>
    <w:div w:id="157569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681</Words>
  <Characters>3888</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2016-09-27T07:32:00Z</dcterms:created>
  <dcterms:modified xsi:type="dcterms:W3CDTF">2016-09-28T02:04:00Z</dcterms:modified>
</cp:coreProperties>
</file>